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EE" w:rsidRPr="00967FF2" w:rsidRDefault="00222A0E" w:rsidP="00967FF2">
      <w:pPr>
        <w:jc w:val="center"/>
        <w:rPr>
          <w:noProof/>
        </w:rPr>
      </w:pPr>
      <w:r>
        <w:rPr>
          <w:noProof/>
        </w:rPr>
        <w:drawing>
          <wp:anchor distT="0" distB="0" distL="114300" distR="114300" simplePos="0" relativeHeight="251670528" behindDoc="0" locked="0" layoutInCell="1" allowOverlap="1">
            <wp:simplePos x="0" y="0"/>
            <wp:positionH relativeFrom="column">
              <wp:posOffset>66675</wp:posOffset>
            </wp:positionH>
            <wp:positionV relativeFrom="paragraph">
              <wp:posOffset>-521970</wp:posOffset>
            </wp:positionV>
            <wp:extent cx="1409700" cy="723900"/>
            <wp:effectExtent l="19050" t="0" r="0" b="0"/>
            <wp:wrapNone/>
            <wp:docPr id="7" name="Picture 6" descr="1.Stanley Logo_HYDRAU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anley Logo_HYDRAULIC.jpg"/>
                    <pic:cNvPicPr/>
                  </pic:nvPicPr>
                  <pic:blipFill>
                    <a:blip r:embed="rId8" cstate="print"/>
                    <a:stretch>
                      <a:fillRect/>
                    </a:stretch>
                  </pic:blipFill>
                  <pic:spPr>
                    <a:xfrm>
                      <a:off x="0" y="0"/>
                      <a:ext cx="1409700" cy="723900"/>
                    </a:xfrm>
                    <a:prstGeom prst="rect">
                      <a:avLst/>
                    </a:prstGeom>
                  </pic:spPr>
                </pic:pic>
              </a:graphicData>
            </a:graphic>
          </wp:anchor>
        </w:drawing>
      </w:r>
    </w:p>
    <w:p w:rsidR="00967FF2" w:rsidRDefault="00967FF2" w:rsidP="003C6A49">
      <w:pPr>
        <w:rPr>
          <w:rFonts w:ascii="Arial" w:hAnsi="Arial" w:cs="Arial"/>
          <w:b/>
          <w:sz w:val="20"/>
        </w:rPr>
      </w:pPr>
    </w:p>
    <w:p w:rsidR="00141C99" w:rsidRDefault="00805196" w:rsidP="003C6A49">
      <w:pPr>
        <w:rPr>
          <w:rFonts w:ascii="Arial" w:hAnsi="Arial" w:cs="Arial"/>
          <w:b/>
          <w:sz w:val="20"/>
        </w:rPr>
      </w:pPr>
      <w:r>
        <w:rPr>
          <w:rFonts w:ascii="Arial" w:hAnsi="Arial" w:cs="Arial"/>
          <w:b/>
          <w:noProof/>
          <w:sz w:val="20"/>
        </w:rPr>
        <w:drawing>
          <wp:anchor distT="0" distB="0" distL="114300" distR="114300" simplePos="0" relativeHeight="251673600" behindDoc="0" locked="0" layoutInCell="1" allowOverlap="1">
            <wp:simplePos x="0" y="0"/>
            <wp:positionH relativeFrom="column">
              <wp:posOffset>2373630</wp:posOffset>
            </wp:positionH>
            <wp:positionV relativeFrom="paragraph">
              <wp:posOffset>33020</wp:posOffset>
            </wp:positionV>
            <wp:extent cx="2059305" cy="542925"/>
            <wp:effectExtent l="19050" t="0" r="0" b="0"/>
            <wp:wrapNone/>
            <wp:docPr id="5" name="Picture 3" descr="2 Year Warranty of New Mounted Bre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Year Warranty of New Mounted Breakers.jpg"/>
                    <pic:cNvPicPr/>
                  </pic:nvPicPr>
                  <pic:blipFill>
                    <a:blip r:embed="rId9" cstate="print"/>
                    <a:stretch>
                      <a:fillRect/>
                    </a:stretch>
                  </pic:blipFill>
                  <pic:spPr>
                    <a:xfrm>
                      <a:off x="0" y="0"/>
                      <a:ext cx="2059305" cy="542925"/>
                    </a:xfrm>
                    <a:prstGeom prst="rect">
                      <a:avLst/>
                    </a:prstGeom>
                  </pic:spPr>
                </pic:pic>
              </a:graphicData>
            </a:graphic>
          </wp:anchor>
        </w:drawing>
      </w:r>
      <w:r>
        <w:rPr>
          <w:rFonts w:ascii="Arial" w:hAnsi="Arial" w:cs="Arial"/>
          <w:b/>
          <w:noProof/>
          <w:sz w:val="20"/>
        </w:rPr>
        <w:drawing>
          <wp:anchor distT="0" distB="0" distL="114300" distR="114300" simplePos="0" relativeHeight="251674624" behindDoc="1" locked="0" layoutInCell="1" allowOverlap="1">
            <wp:simplePos x="0" y="0"/>
            <wp:positionH relativeFrom="column">
              <wp:posOffset>4694567</wp:posOffset>
            </wp:positionH>
            <wp:positionV relativeFrom="paragraph">
              <wp:posOffset>15935</wp:posOffset>
            </wp:positionV>
            <wp:extent cx="2103048" cy="56934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03048" cy="569344"/>
                    </a:xfrm>
                    <a:prstGeom prst="rect">
                      <a:avLst/>
                    </a:prstGeom>
                    <a:noFill/>
                    <a:ln w="9525">
                      <a:noFill/>
                      <a:miter lim="800000"/>
                      <a:headEnd/>
                      <a:tailEnd/>
                    </a:ln>
                  </pic:spPr>
                </pic:pic>
              </a:graphicData>
            </a:graphic>
          </wp:anchor>
        </w:drawing>
      </w:r>
      <w:r w:rsidR="00967FF2">
        <w:rPr>
          <w:rFonts w:ascii="Arial" w:hAnsi="Arial" w:cs="Arial"/>
          <w:b/>
          <w:noProof/>
          <w:sz w:val="20"/>
        </w:rPr>
        <w:drawing>
          <wp:inline distT="0" distB="0" distL="0" distR="0">
            <wp:extent cx="2105025" cy="6096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05025" cy="609600"/>
                    </a:xfrm>
                    <a:prstGeom prst="rect">
                      <a:avLst/>
                    </a:prstGeom>
                    <a:noFill/>
                    <a:ln w="9525">
                      <a:noFill/>
                      <a:miter lim="800000"/>
                      <a:headEnd/>
                      <a:tailEnd/>
                    </a:ln>
                  </pic:spPr>
                </pic:pic>
              </a:graphicData>
            </a:graphic>
          </wp:inline>
        </w:drawing>
      </w:r>
      <w:r w:rsidR="00D5038A">
        <w:rPr>
          <w:rFonts w:ascii="Arial" w:hAnsi="Arial" w:cs="Arial"/>
          <w:b/>
          <w:sz w:val="20"/>
        </w:rPr>
        <w:t xml:space="preserve">     </w:t>
      </w:r>
    </w:p>
    <w:p w:rsidR="00967FF2" w:rsidRDefault="002F0580" w:rsidP="00967FF2">
      <w:pPr>
        <w:jc w:val="both"/>
        <w:rPr>
          <w:rFonts w:cstheme="minorHAnsi"/>
        </w:rPr>
      </w:pPr>
      <w:r w:rsidRPr="002F0580">
        <w:rPr>
          <w:rFonts w:cstheme="minorHAnsi"/>
        </w:rPr>
        <w:t xml:space="preserve">Stanley Hydraulic Tools, a business unit of Stanley Black &amp; Decker, Inc., </w:t>
      </w:r>
      <w:r w:rsidR="00967FF2">
        <w:rPr>
          <w:rFonts w:cstheme="minorHAnsi"/>
        </w:rPr>
        <w:t>warrants new tools against defects in material and workmanship for the following periods</w:t>
      </w:r>
      <w:r w:rsidR="00805196">
        <w:rPr>
          <w:rFonts w:cstheme="minorHAnsi"/>
        </w:rPr>
        <w:t xml:space="preserve"> from the date of first sale to the first retail purchaser</w:t>
      </w:r>
      <w:r w:rsidR="00967FF2">
        <w:rPr>
          <w:rFonts w:cstheme="minorHAnsi"/>
        </w:rPr>
        <w:t>:</w:t>
      </w:r>
    </w:p>
    <w:p w:rsidR="00967FF2" w:rsidRDefault="00967FF2" w:rsidP="00967FF2">
      <w:pPr>
        <w:pStyle w:val="ListParagraph"/>
        <w:numPr>
          <w:ilvl w:val="0"/>
          <w:numId w:val="7"/>
        </w:numPr>
        <w:ind w:left="360"/>
        <w:jc w:val="both"/>
        <w:rPr>
          <w:rFonts w:cstheme="minorHAnsi"/>
        </w:rPr>
      </w:pPr>
      <w:r>
        <w:rPr>
          <w:rFonts w:cstheme="minorHAnsi"/>
        </w:rPr>
        <w:t>New h</w:t>
      </w:r>
      <w:r w:rsidRPr="00967FF2">
        <w:rPr>
          <w:rFonts w:cstheme="minorHAnsi"/>
        </w:rPr>
        <w:t>ydraulic handheld and railroad</w:t>
      </w:r>
      <w:r w:rsidR="002F0580" w:rsidRPr="00967FF2">
        <w:rPr>
          <w:rFonts w:cstheme="minorHAnsi"/>
        </w:rPr>
        <w:t xml:space="preserve"> tools </w:t>
      </w:r>
      <w:r w:rsidRPr="00967FF2">
        <w:rPr>
          <w:rFonts w:cstheme="minorHAnsi"/>
        </w:rPr>
        <w:t xml:space="preserve">for a period of </w:t>
      </w:r>
      <w:r w:rsidRPr="00967FF2">
        <w:rPr>
          <w:rFonts w:cstheme="minorHAnsi"/>
          <w:b/>
        </w:rPr>
        <w:t>18 MONTHS</w:t>
      </w:r>
    </w:p>
    <w:p w:rsidR="00967FF2" w:rsidRDefault="00967FF2" w:rsidP="00967FF2">
      <w:pPr>
        <w:pStyle w:val="ListParagraph"/>
        <w:numPr>
          <w:ilvl w:val="0"/>
          <w:numId w:val="7"/>
        </w:numPr>
        <w:ind w:left="360"/>
        <w:jc w:val="both"/>
        <w:rPr>
          <w:rFonts w:cstheme="minorHAnsi"/>
        </w:rPr>
      </w:pPr>
      <w:r>
        <w:rPr>
          <w:rFonts w:cstheme="minorHAnsi"/>
        </w:rPr>
        <w:t>N</w:t>
      </w:r>
      <w:r w:rsidR="002F0580" w:rsidRPr="00967FF2">
        <w:rPr>
          <w:rFonts w:cstheme="minorHAnsi"/>
        </w:rPr>
        <w:t xml:space="preserve">ew mounted breakers for a period of </w:t>
      </w:r>
      <w:r w:rsidR="002F0580" w:rsidRPr="00967FF2">
        <w:rPr>
          <w:rFonts w:cstheme="minorHAnsi"/>
          <w:b/>
        </w:rPr>
        <w:t>TWO YEARS</w:t>
      </w:r>
    </w:p>
    <w:p w:rsidR="00805196" w:rsidRPr="00805196" w:rsidRDefault="00805196" w:rsidP="00805196">
      <w:pPr>
        <w:pStyle w:val="ListParagraph"/>
        <w:numPr>
          <w:ilvl w:val="0"/>
          <w:numId w:val="7"/>
        </w:numPr>
        <w:ind w:left="360"/>
        <w:jc w:val="both"/>
        <w:rPr>
          <w:rFonts w:cstheme="minorHAnsi"/>
        </w:rPr>
      </w:pPr>
      <w:r>
        <w:rPr>
          <w:rFonts w:cstheme="minorHAnsi"/>
        </w:rPr>
        <w:t xml:space="preserve">New mounted compactors and drop hammers for a period of </w:t>
      </w:r>
      <w:r w:rsidRPr="00967FF2">
        <w:rPr>
          <w:rFonts w:cstheme="minorHAnsi"/>
          <w:b/>
        </w:rPr>
        <w:t>ONE YEAR</w:t>
      </w:r>
    </w:p>
    <w:p w:rsidR="002F0580" w:rsidRPr="00967FF2" w:rsidRDefault="00967FF2" w:rsidP="00967FF2">
      <w:pPr>
        <w:jc w:val="both"/>
        <w:rPr>
          <w:rFonts w:cstheme="minorHAnsi"/>
        </w:rPr>
      </w:pPr>
      <w:r>
        <w:rPr>
          <w:rFonts w:cstheme="minorHAnsi"/>
        </w:rPr>
        <w:t>All warranties are</w:t>
      </w:r>
      <w:r w:rsidR="002F0580" w:rsidRPr="00967FF2">
        <w:rPr>
          <w:rFonts w:cstheme="minorHAnsi"/>
        </w:rPr>
        <w:t xml:space="preserve"> subject to the limitations below. </w:t>
      </w:r>
    </w:p>
    <w:p w:rsidR="002F0580" w:rsidRPr="00141C99" w:rsidRDefault="004548C0" w:rsidP="00967FF2">
      <w:pPr>
        <w:tabs>
          <w:tab w:val="left" w:pos="360"/>
        </w:tabs>
        <w:spacing w:after="120" w:line="240" w:lineRule="auto"/>
        <w:jc w:val="both"/>
        <w:rPr>
          <w:rFonts w:cstheme="minorHAnsi"/>
          <w:b/>
          <w:sz w:val="24"/>
          <w:szCs w:val="24"/>
        </w:rPr>
      </w:pPr>
      <w:r w:rsidRPr="00141C99">
        <w:rPr>
          <w:rFonts w:cstheme="minorHAnsi"/>
          <w:b/>
          <w:sz w:val="24"/>
          <w:szCs w:val="24"/>
        </w:rPr>
        <w:t>E</w:t>
      </w:r>
      <w:r w:rsidR="007E41F6" w:rsidRPr="00141C99">
        <w:rPr>
          <w:rFonts w:cstheme="minorHAnsi"/>
          <w:b/>
          <w:sz w:val="24"/>
          <w:szCs w:val="24"/>
        </w:rPr>
        <w:t>XCEPTIONS</w:t>
      </w:r>
      <w:r w:rsidRPr="00141C99">
        <w:rPr>
          <w:rFonts w:cstheme="minorHAnsi"/>
          <w:b/>
          <w:sz w:val="24"/>
          <w:szCs w:val="24"/>
        </w:rPr>
        <w:t>:</w:t>
      </w:r>
    </w:p>
    <w:p w:rsidR="00141C99" w:rsidRDefault="004548C0" w:rsidP="00967FF2">
      <w:pPr>
        <w:pStyle w:val="ListParagraph"/>
        <w:numPr>
          <w:ilvl w:val="0"/>
          <w:numId w:val="1"/>
        </w:numPr>
        <w:tabs>
          <w:tab w:val="left" w:pos="360"/>
        </w:tabs>
        <w:spacing w:after="120" w:line="240" w:lineRule="auto"/>
        <w:contextualSpacing w:val="0"/>
        <w:jc w:val="both"/>
        <w:rPr>
          <w:rFonts w:cstheme="minorHAnsi"/>
        </w:rPr>
      </w:pPr>
      <w:r w:rsidRPr="00141C99">
        <w:rPr>
          <w:rFonts w:cstheme="minorHAnsi"/>
          <w:b/>
        </w:rPr>
        <w:t xml:space="preserve">SEALS AND DIAPHRAGMS: </w:t>
      </w:r>
      <w:r w:rsidR="00772B11" w:rsidRPr="00141C99">
        <w:rPr>
          <w:rFonts w:cstheme="minorHAnsi"/>
        </w:rPr>
        <w:t>W</w:t>
      </w:r>
      <w:r w:rsidRPr="00141C99">
        <w:rPr>
          <w:rFonts w:cstheme="minorHAnsi"/>
        </w:rPr>
        <w:t xml:space="preserve">arranted to be free of defects in material and/or workmanship for a period of 6 months </w:t>
      </w:r>
      <w:r w:rsidR="00772B11" w:rsidRPr="00141C99">
        <w:rPr>
          <w:rFonts w:cstheme="minorHAnsi"/>
        </w:rPr>
        <w:t>from the date of sale to the first retail purchaser.</w:t>
      </w:r>
    </w:p>
    <w:p w:rsidR="00141C99" w:rsidRPr="00141C99" w:rsidRDefault="004548C0" w:rsidP="00967FF2">
      <w:pPr>
        <w:pStyle w:val="ListParagraph"/>
        <w:numPr>
          <w:ilvl w:val="0"/>
          <w:numId w:val="1"/>
        </w:numPr>
        <w:tabs>
          <w:tab w:val="left" w:pos="360"/>
        </w:tabs>
        <w:spacing w:after="120" w:line="240" w:lineRule="auto"/>
        <w:contextualSpacing w:val="0"/>
        <w:jc w:val="both"/>
        <w:rPr>
          <w:rFonts w:cstheme="minorHAnsi"/>
        </w:rPr>
      </w:pPr>
      <w:r w:rsidRPr="00141C99">
        <w:rPr>
          <w:rFonts w:cstheme="minorHAnsi"/>
          <w:b/>
        </w:rPr>
        <w:t xml:space="preserve">ELECTRICAL COMPONENTS: </w:t>
      </w:r>
      <w:r w:rsidR="00772B11" w:rsidRPr="00141C99">
        <w:rPr>
          <w:rFonts w:cstheme="minorHAnsi"/>
        </w:rPr>
        <w:t>W</w:t>
      </w:r>
      <w:r w:rsidRPr="00141C99">
        <w:rPr>
          <w:rFonts w:cstheme="minorHAnsi"/>
        </w:rPr>
        <w:t>arranted to be free of defects in material and/or workmanship for a period of 90 days</w:t>
      </w:r>
      <w:r w:rsidR="00772B11" w:rsidRPr="00141C99">
        <w:rPr>
          <w:rFonts w:cstheme="minorHAnsi"/>
        </w:rPr>
        <w:t xml:space="preserve"> from the date of sale to the first retail purchaser. Examples include but are not limited to: s</w:t>
      </w:r>
      <w:r w:rsidRPr="00141C99">
        <w:rPr>
          <w:rFonts w:cstheme="minorHAnsi"/>
        </w:rPr>
        <w:t>ensors, batteries, control modules, switches, wiring</w:t>
      </w:r>
      <w:r w:rsidR="00772B11" w:rsidRPr="00141C99">
        <w:rPr>
          <w:rFonts w:cstheme="minorHAnsi"/>
        </w:rPr>
        <w:t xml:space="preserve">, </w:t>
      </w:r>
      <w:r w:rsidRPr="00141C99">
        <w:rPr>
          <w:rFonts w:cstheme="minorHAnsi"/>
        </w:rPr>
        <w:t>solenoids</w:t>
      </w:r>
      <w:r w:rsidR="00772B11" w:rsidRPr="00141C99">
        <w:rPr>
          <w:rFonts w:cstheme="minorHAnsi"/>
        </w:rPr>
        <w:t xml:space="preserve"> valves, etc.</w:t>
      </w:r>
    </w:p>
    <w:p w:rsidR="00772B11" w:rsidRPr="00141C99" w:rsidRDefault="00772B11" w:rsidP="00967FF2">
      <w:pPr>
        <w:pStyle w:val="ListParagraph"/>
        <w:numPr>
          <w:ilvl w:val="0"/>
          <w:numId w:val="1"/>
        </w:numPr>
        <w:tabs>
          <w:tab w:val="left" w:pos="360"/>
        </w:tabs>
        <w:spacing w:after="120" w:line="240" w:lineRule="auto"/>
        <w:contextualSpacing w:val="0"/>
        <w:jc w:val="both"/>
        <w:rPr>
          <w:rFonts w:cstheme="minorHAnsi"/>
        </w:rPr>
      </w:pPr>
      <w:r w:rsidRPr="00141C99">
        <w:rPr>
          <w:rFonts w:cstheme="minorHAnsi"/>
          <w:b/>
        </w:rPr>
        <w:t>TOOL BITS:</w:t>
      </w:r>
      <w:r w:rsidRPr="00141C99">
        <w:rPr>
          <w:rFonts w:cstheme="minorHAnsi"/>
        </w:rPr>
        <w:t xml:space="preserve"> Warranted to be free of defects in material and/or workmanship for a period of 2 months from the date of sale to the first retail purchaser. Tool bit failure related to prying, overheating and misuses will not be covered by this warranty.</w:t>
      </w:r>
    </w:p>
    <w:p w:rsidR="002F0580" w:rsidRPr="002F0580" w:rsidRDefault="00772B11" w:rsidP="00967FF2">
      <w:pPr>
        <w:tabs>
          <w:tab w:val="left" w:pos="360"/>
          <w:tab w:val="left" w:pos="810"/>
        </w:tabs>
        <w:spacing w:after="120" w:line="240" w:lineRule="auto"/>
        <w:jc w:val="both"/>
        <w:rPr>
          <w:rFonts w:cstheme="minorHAnsi"/>
        </w:rPr>
      </w:pPr>
      <w:r w:rsidRPr="00141C99">
        <w:rPr>
          <w:rFonts w:cstheme="minorHAnsi"/>
          <w:b/>
          <w:sz w:val="24"/>
          <w:szCs w:val="24"/>
        </w:rPr>
        <w:t>EXCLUSIONS</w:t>
      </w:r>
      <w:r w:rsidR="004548C0" w:rsidRPr="00141C99">
        <w:rPr>
          <w:rFonts w:cstheme="minorHAnsi"/>
          <w:b/>
          <w:sz w:val="24"/>
          <w:szCs w:val="24"/>
        </w:rPr>
        <w:t>:</w:t>
      </w:r>
      <w:r w:rsidR="004548C0" w:rsidRPr="002F0580">
        <w:rPr>
          <w:rFonts w:cstheme="minorHAnsi"/>
        </w:rPr>
        <w:t xml:space="preserve"> </w:t>
      </w:r>
      <w:r w:rsidR="002F0580">
        <w:rPr>
          <w:rFonts w:cstheme="minorHAnsi"/>
        </w:rPr>
        <w:t xml:space="preserve"> </w:t>
      </w:r>
      <w:r w:rsidR="002F0580" w:rsidRPr="002F0580">
        <w:rPr>
          <w:rFonts w:cstheme="minorHAnsi"/>
          <w:b/>
          <w:bCs/>
        </w:rPr>
        <w:t>THIS WARRANTY DOES NOT COVER DEFECTS, DAMAGES, PERFORMANCE DEFICIENCY OR FAILURE:</w:t>
      </w:r>
    </w:p>
    <w:p w:rsidR="002F0580" w:rsidRPr="002F0580" w:rsidRDefault="002F0580" w:rsidP="00967FF2">
      <w:pPr>
        <w:pStyle w:val="ListParagraph"/>
        <w:numPr>
          <w:ilvl w:val="0"/>
          <w:numId w:val="6"/>
        </w:numPr>
        <w:spacing w:after="0" w:line="240" w:lineRule="auto"/>
        <w:ind w:left="360"/>
        <w:contextualSpacing w:val="0"/>
        <w:jc w:val="both"/>
        <w:rPr>
          <w:rFonts w:cstheme="minorHAnsi"/>
        </w:rPr>
      </w:pPr>
      <w:r w:rsidRPr="002F0580">
        <w:rPr>
          <w:rFonts w:cstheme="minorHAnsi"/>
        </w:rPr>
        <w:t>due to abuse, misuse, tampering or accidents;</w:t>
      </w:r>
    </w:p>
    <w:p w:rsidR="002F0580" w:rsidRPr="002F0580" w:rsidRDefault="002F0580" w:rsidP="00967FF2">
      <w:pPr>
        <w:pStyle w:val="ListParagraph"/>
        <w:numPr>
          <w:ilvl w:val="0"/>
          <w:numId w:val="6"/>
        </w:numPr>
        <w:spacing w:after="0" w:line="240" w:lineRule="auto"/>
        <w:ind w:left="360"/>
        <w:contextualSpacing w:val="0"/>
        <w:jc w:val="both"/>
        <w:rPr>
          <w:rFonts w:cstheme="minorHAnsi"/>
        </w:rPr>
      </w:pPr>
      <w:r w:rsidRPr="002F0580">
        <w:rPr>
          <w:rFonts w:cstheme="minorHAnsi"/>
        </w:rPr>
        <w:t>from repairs performed by a person other than Stanley Hydraulic Tools or an authorized service center;</w:t>
      </w:r>
    </w:p>
    <w:p w:rsidR="002F0580" w:rsidRPr="002F0580" w:rsidRDefault="002F0580" w:rsidP="00967FF2">
      <w:pPr>
        <w:pStyle w:val="ListParagraph"/>
        <w:numPr>
          <w:ilvl w:val="0"/>
          <w:numId w:val="6"/>
        </w:numPr>
        <w:spacing w:after="0" w:line="240" w:lineRule="auto"/>
        <w:ind w:left="360"/>
        <w:contextualSpacing w:val="0"/>
        <w:jc w:val="both"/>
        <w:rPr>
          <w:rFonts w:cstheme="minorHAnsi"/>
        </w:rPr>
      </w:pPr>
      <w:r w:rsidRPr="002F0580">
        <w:rPr>
          <w:rFonts w:cstheme="minorHAnsi"/>
        </w:rPr>
        <w:t>arising from failure to follow the operating instructions supplied with the tool, including, but not limited to, safety instructions;</w:t>
      </w:r>
    </w:p>
    <w:p w:rsidR="002F0580" w:rsidRPr="00967FF2" w:rsidRDefault="002F0580" w:rsidP="00967FF2">
      <w:pPr>
        <w:pStyle w:val="ListParagraph"/>
        <w:numPr>
          <w:ilvl w:val="0"/>
          <w:numId w:val="6"/>
        </w:numPr>
        <w:spacing w:after="0" w:line="240" w:lineRule="auto"/>
        <w:ind w:left="360"/>
        <w:contextualSpacing w:val="0"/>
        <w:jc w:val="both"/>
        <w:rPr>
          <w:rFonts w:cstheme="minorHAnsi"/>
        </w:rPr>
      </w:pPr>
      <w:r w:rsidRPr="00967FF2">
        <w:rPr>
          <w:rFonts w:cstheme="minorHAnsi"/>
        </w:rPr>
        <w:t>arising from failure to perform proper maintenance in accordance with the O</w:t>
      </w:r>
      <w:r w:rsidR="00967FF2" w:rsidRPr="00967FF2">
        <w:rPr>
          <w:rFonts w:cstheme="minorHAnsi"/>
        </w:rPr>
        <w:t>perations &amp; Maintenance manual;</w:t>
      </w:r>
      <w:r w:rsidR="00967FF2">
        <w:rPr>
          <w:rFonts w:cstheme="minorHAnsi"/>
        </w:rPr>
        <w:t xml:space="preserve"> </w:t>
      </w:r>
      <w:r w:rsidRPr="00967FF2">
        <w:rPr>
          <w:rFonts w:cstheme="minorHAnsi"/>
        </w:rPr>
        <w:t xml:space="preserve">or </w:t>
      </w:r>
    </w:p>
    <w:p w:rsidR="002F0580" w:rsidRPr="002F0580" w:rsidRDefault="002F0580" w:rsidP="00967FF2">
      <w:pPr>
        <w:pStyle w:val="ListParagraph"/>
        <w:numPr>
          <w:ilvl w:val="0"/>
          <w:numId w:val="6"/>
        </w:numPr>
        <w:spacing w:after="0" w:line="240" w:lineRule="auto"/>
        <w:ind w:left="360"/>
        <w:contextualSpacing w:val="0"/>
        <w:jc w:val="both"/>
        <w:rPr>
          <w:rFonts w:cstheme="minorHAnsi"/>
        </w:rPr>
      </w:pPr>
      <w:r w:rsidRPr="002F0580">
        <w:rPr>
          <w:rFonts w:cstheme="minorHAnsi"/>
        </w:rPr>
        <w:t>of “wear parts” such as tool bushings, retaining pins, wear plates, shock mounts, bumpers, hoses, and cutting/impact accessories, such as breaker tool bits, grinding wheels, drill bits and tamping pads (you may be charged for replacement of these pa</w:t>
      </w:r>
      <w:r>
        <w:rPr>
          <w:rFonts w:cstheme="minorHAnsi"/>
        </w:rPr>
        <w:t>rts and accessories).</w:t>
      </w:r>
    </w:p>
    <w:p w:rsidR="002F0580" w:rsidRDefault="002F0580" w:rsidP="00967FF2">
      <w:pPr>
        <w:spacing w:after="0"/>
        <w:jc w:val="both"/>
        <w:rPr>
          <w:rFonts w:cstheme="minorHAnsi"/>
        </w:rPr>
      </w:pPr>
    </w:p>
    <w:p w:rsidR="002F0580" w:rsidRPr="002F0580" w:rsidRDefault="002F0580" w:rsidP="00967FF2">
      <w:pPr>
        <w:jc w:val="both"/>
        <w:rPr>
          <w:rFonts w:cstheme="minorHAnsi"/>
        </w:rPr>
      </w:pPr>
      <w:r w:rsidRPr="002F0580">
        <w:rPr>
          <w:rFonts w:cstheme="minorHAnsi"/>
        </w:rPr>
        <w:t>TO THE FULLEST EXTENT PERMITTED BY APPLICABLE LAW, IN NO EVENT WILL STANLEY HYDRAU</w:t>
      </w:r>
      <w:r w:rsidR="007B7FC8">
        <w:rPr>
          <w:rFonts w:cstheme="minorHAnsi"/>
        </w:rPr>
        <w:t>LICS BE LIABLE FOR ANY INCIDENT</w:t>
      </w:r>
      <w:r w:rsidRPr="002F0580">
        <w:rPr>
          <w:rFonts w:cstheme="minorHAnsi"/>
        </w:rPr>
        <w:t xml:space="preserve">AL, CONSEQUENTIAL, OR SPECIAL DAMAGES OR EXPENSES.  </w:t>
      </w:r>
    </w:p>
    <w:p w:rsidR="002F0580" w:rsidRPr="002F0580" w:rsidRDefault="002F0580" w:rsidP="00967FF2">
      <w:pPr>
        <w:spacing w:after="0" w:line="240" w:lineRule="auto"/>
        <w:jc w:val="both"/>
        <w:rPr>
          <w:rFonts w:cstheme="minorHAnsi"/>
        </w:rPr>
      </w:pPr>
      <w:r w:rsidRPr="002F0580">
        <w:rPr>
          <w:rFonts w:cstheme="minorHAnsi"/>
        </w:rPr>
        <w:t>For proper safe operation and maintenance of this product, please refer to the Operations &amp; Maintenance manual supplied with the tool.  Failure to follow these instructions may void this warranty. THIS WARRANTY GIVES YOU SPECIFIC LEGAL RIGHTS.  YOU MAY HAVE OTHER RIGHTS WHICH VARY FROM STATE TO STATE AND COUNTRY BY COUNTRY.</w:t>
      </w:r>
    </w:p>
    <w:p w:rsidR="00141C99" w:rsidRPr="002F0580" w:rsidRDefault="00141C99" w:rsidP="002F0580">
      <w:pPr>
        <w:tabs>
          <w:tab w:val="left" w:pos="360"/>
          <w:tab w:val="left" w:pos="810"/>
        </w:tabs>
        <w:spacing w:after="0" w:line="240" w:lineRule="auto"/>
        <w:rPr>
          <w:rFonts w:cstheme="minorHAnsi"/>
        </w:rPr>
      </w:pPr>
    </w:p>
    <w:p w:rsidR="002F0580" w:rsidRDefault="002F0580" w:rsidP="002F0580">
      <w:pPr>
        <w:jc w:val="center"/>
        <w:rPr>
          <w:rFonts w:cstheme="minorHAnsi"/>
          <w:b/>
        </w:rPr>
      </w:pPr>
      <w:r w:rsidRPr="002F0580">
        <w:rPr>
          <w:rFonts w:cstheme="minorHAnsi"/>
          <w:b/>
          <w:bCs/>
        </w:rPr>
        <w:t>All tools must be registered at the time of sale to the end-user by the selling distributor.  Stanley Hydraulic Tools may deny warranty coverage if the warranty registration is not on file when coverage is sought.  Contact your local distributor before returning any product</w:t>
      </w:r>
      <w:r w:rsidRPr="002F0580">
        <w:rPr>
          <w:rFonts w:cstheme="minorHAnsi"/>
          <w:b/>
        </w:rPr>
        <w:t>.</w:t>
      </w:r>
    </w:p>
    <w:p w:rsidR="007F30CB" w:rsidRPr="00967FF2" w:rsidRDefault="007F30CB" w:rsidP="00967FF2">
      <w:pPr>
        <w:tabs>
          <w:tab w:val="left" w:pos="360"/>
          <w:tab w:val="left" w:pos="810"/>
        </w:tabs>
        <w:spacing w:after="0" w:line="240" w:lineRule="auto"/>
        <w:jc w:val="center"/>
        <w:rPr>
          <w:rFonts w:ascii="Arial" w:hAnsi="Arial" w:cs="Arial"/>
          <w:b/>
          <w:i/>
          <w:sz w:val="20"/>
        </w:rPr>
      </w:pPr>
      <w:r>
        <w:rPr>
          <w:rFonts w:ascii="Arial" w:hAnsi="Arial" w:cs="Arial"/>
          <w:b/>
          <w:i/>
          <w:sz w:val="20"/>
        </w:rPr>
        <w:t xml:space="preserve">Visit us at </w:t>
      </w:r>
      <w:hyperlink r:id="rId12" w:history="1">
        <w:r>
          <w:rPr>
            <w:rStyle w:val="Hyperlink"/>
            <w:i/>
            <w:sz w:val="20"/>
          </w:rPr>
          <w:t>www.stanleyhydraulic.com</w:t>
        </w:r>
      </w:hyperlink>
    </w:p>
    <w:sectPr w:rsidR="007F30CB" w:rsidRPr="00967FF2" w:rsidSect="002F0580">
      <w:headerReference w:type="default" r:id="rId13"/>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1C" w:rsidRDefault="0011171C" w:rsidP="00A4012C">
      <w:pPr>
        <w:spacing w:after="0" w:line="240" w:lineRule="auto"/>
      </w:pPr>
      <w:r>
        <w:separator/>
      </w:r>
    </w:p>
  </w:endnote>
  <w:endnote w:type="continuationSeparator" w:id="0">
    <w:p w:rsidR="0011171C" w:rsidRDefault="0011171C" w:rsidP="00A40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1C" w:rsidRDefault="0011171C" w:rsidP="00A4012C">
      <w:pPr>
        <w:spacing w:after="0" w:line="240" w:lineRule="auto"/>
      </w:pPr>
      <w:r>
        <w:separator/>
      </w:r>
    </w:p>
  </w:footnote>
  <w:footnote w:type="continuationSeparator" w:id="0">
    <w:p w:rsidR="0011171C" w:rsidRDefault="0011171C" w:rsidP="00A40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FE" w:rsidRDefault="00A038F5">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176.75pt;margin-top:-11.25pt;width:379.75pt;height:58.3pt;z-index:251660288;mso-height-percent:200;mso-height-percent:200;mso-width-relative:margin;mso-height-relative:margin" filled="f" stroked="f">
          <v:textbox style="mso-next-textbox:#_x0000_s2049;mso-fit-shape-to-text:t">
            <w:txbxContent>
              <w:p w:rsidR="007A61FE" w:rsidRDefault="007B7FC8" w:rsidP="00222A0E">
                <w:pPr>
                  <w:spacing w:after="120" w:line="240" w:lineRule="auto"/>
                  <w:jc w:val="right"/>
                  <w:rPr>
                    <w:rFonts w:ascii="Arial" w:hAnsi="Arial" w:cs="Arial"/>
                    <w:b/>
                    <w:sz w:val="44"/>
                  </w:rPr>
                </w:pPr>
                <w:r>
                  <w:rPr>
                    <w:rFonts w:ascii="Arial" w:hAnsi="Arial" w:cs="Arial"/>
                    <w:b/>
                    <w:sz w:val="44"/>
                  </w:rPr>
                  <w:t xml:space="preserve">WARRANTY </w:t>
                </w:r>
              </w:p>
              <w:p w:rsidR="007A61FE" w:rsidRPr="00222A0E" w:rsidRDefault="007A61FE" w:rsidP="00222A0E">
                <w:pPr>
                  <w:spacing w:after="120" w:line="240" w:lineRule="auto"/>
                  <w:jc w:val="right"/>
                  <w:rPr>
                    <w:rFonts w:ascii="Arial" w:hAnsi="Arial" w:cs="Arial"/>
                    <w:sz w:val="24"/>
                    <w:szCs w:val="28"/>
                  </w:rPr>
                </w:pPr>
                <w:r w:rsidRPr="00222A0E">
                  <w:rPr>
                    <w:rFonts w:ascii="Arial" w:hAnsi="Arial" w:cs="Arial"/>
                    <w:sz w:val="24"/>
                    <w:szCs w:val="28"/>
                  </w:rPr>
                  <w:t xml:space="preserve">Effective </w:t>
                </w:r>
                <w:r w:rsidR="00967FF2">
                  <w:rPr>
                    <w:rFonts w:ascii="Arial" w:hAnsi="Arial" w:cs="Arial"/>
                    <w:sz w:val="24"/>
                    <w:szCs w:val="28"/>
                  </w:rPr>
                  <w:t>May 1, 2014</w:t>
                </w:r>
              </w:p>
            </w:txbxContent>
          </v:textbox>
        </v:shape>
      </w:pict>
    </w:r>
  </w:p>
  <w:p w:rsidR="007A61FE" w:rsidRDefault="007A6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5AE"/>
    <w:multiLevelType w:val="hybridMultilevel"/>
    <w:tmpl w:val="74F8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1C3C"/>
    <w:multiLevelType w:val="hybridMultilevel"/>
    <w:tmpl w:val="BCFEFC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1301804"/>
    <w:multiLevelType w:val="hybridMultilevel"/>
    <w:tmpl w:val="2C0AF8F8"/>
    <w:lvl w:ilvl="0" w:tplc="BD72620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2646F7"/>
    <w:multiLevelType w:val="hybridMultilevel"/>
    <w:tmpl w:val="B5A89F8E"/>
    <w:lvl w:ilvl="0" w:tplc="F950353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F87B0A"/>
    <w:multiLevelType w:val="hybridMultilevel"/>
    <w:tmpl w:val="3D56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8246C"/>
    <w:multiLevelType w:val="hybridMultilevel"/>
    <w:tmpl w:val="E188BDAA"/>
    <w:lvl w:ilvl="0" w:tplc="A7AAC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11FE3"/>
    <w:multiLevelType w:val="hybridMultilevel"/>
    <w:tmpl w:val="FB44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4012C"/>
    <w:rsid w:val="000155EE"/>
    <w:rsid w:val="00032AE6"/>
    <w:rsid w:val="00047ACB"/>
    <w:rsid w:val="000A54B3"/>
    <w:rsid w:val="000B48A2"/>
    <w:rsid w:val="000D08EE"/>
    <w:rsid w:val="0011171C"/>
    <w:rsid w:val="00112E8A"/>
    <w:rsid w:val="00141C99"/>
    <w:rsid w:val="0017398F"/>
    <w:rsid w:val="001845C6"/>
    <w:rsid w:val="001A627E"/>
    <w:rsid w:val="001D21D9"/>
    <w:rsid w:val="001D223D"/>
    <w:rsid w:val="002105DB"/>
    <w:rsid w:val="00222A0E"/>
    <w:rsid w:val="0022377C"/>
    <w:rsid w:val="002374C6"/>
    <w:rsid w:val="002A4BCD"/>
    <w:rsid w:val="002C1316"/>
    <w:rsid w:val="002F0580"/>
    <w:rsid w:val="00306FF2"/>
    <w:rsid w:val="003360F5"/>
    <w:rsid w:val="00374B94"/>
    <w:rsid w:val="00375826"/>
    <w:rsid w:val="00384747"/>
    <w:rsid w:val="003C6A49"/>
    <w:rsid w:val="00413223"/>
    <w:rsid w:val="004548C0"/>
    <w:rsid w:val="0047457C"/>
    <w:rsid w:val="004774B7"/>
    <w:rsid w:val="0048798D"/>
    <w:rsid w:val="004B11D3"/>
    <w:rsid w:val="00502352"/>
    <w:rsid w:val="005913F7"/>
    <w:rsid w:val="005D7800"/>
    <w:rsid w:val="005F19E2"/>
    <w:rsid w:val="00607D1E"/>
    <w:rsid w:val="006240C2"/>
    <w:rsid w:val="0069481E"/>
    <w:rsid w:val="006B6E83"/>
    <w:rsid w:val="006C2B67"/>
    <w:rsid w:val="00743A0E"/>
    <w:rsid w:val="007474CD"/>
    <w:rsid w:val="00763977"/>
    <w:rsid w:val="00772B11"/>
    <w:rsid w:val="00773328"/>
    <w:rsid w:val="007742EB"/>
    <w:rsid w:val="007A61FE"/>
    <w:rsid w:val="007B5938"/>
    <w:rsid w:val="007B7FC8"/>
    <w:rsid w:val="007D49FD"/>
    <w:rsid w:val="007D6620"/>
    <w:rsid w:val="007E0530"/>
    <w:rsid w:val="007E41F6"/>
    <w:rsid w:val="007F30CB"/>
    <w:rsid w:val="00805196"/>
    <w:rsid w:val="00810415"/>
    <w:rsid w:val="00820CA5"/>
    <w:rsid w:val="008310C5"/>
    <w:rsid w:val="0084037A"/>
    <w:rsid w:val="008446AC"/>
    <w:rsid w:val="00863660"/>
    <w:rsid w:val="00875F49"/>
    <w:rsid w:val="008E20FC"/>
    <w:rsid w:val="00907641"/>
    <w:rsid w:val="00941C3A"/>
    <w:rsid w:val="00967FF2"/>
    <w:rsid w:val="00987458"/>
    <w:rsid w:val="00991055"/>
    <w:rsid w:val="009B5154"/>
    <w:rsid w:val="009B777B"/>
    <w:rsid w:val="009D2350"/>
    <w:rsid w:val="009E58FB"/>
    <w:rsid w:val="00A038F5"/>
    <w:rsid w:val="00A332C5"/>
    <w:rsid w:val="00A4012C"/>
    <w:rsid w:val="00A80280"/>
    <w:rsid w:val="00AA206D"/>
    <w:rsid w:val="00AA52FA"/>
    <w:rsid w:val="00B013F7"/>
    <w:rsid w:val="00B91442"/>
    <w:rsid w:val="00BD3D6E"/>
    <w:rsid w:val="00BF199F"/>
    <w:rsid w:val="00C24926"/>
    <w:rsid w:val="00C26EDF"/>
    <w:rsid w:val="00C37F40"/>
    <w:rsid w:val="00C457F4"/>
    <w:rsid w:val="00C827A5"/>
    <w:rsid w:val="00CC082A"/>
    <w:rsid w:val="00CC4D9A"/>
    <w:rsid w:val="00CD42D9"/>
    <w:rsid w:val="00D21398"/>
    <w:rsid w:val="00D3445B"/>
    <w:rsid w:val="00D501D1"/>
    <w:rsid w:val="00D5038A"/>
    <w:rsid w:val="00D647DD"/>
    <w:rsid w:val="00D871FE"/>
    <w:rsid w:val="00DE383A"/>
    <w:rsid w:val="00DE4D76"/>
    <w:rsid w:val="00E25C2A"/>
    <w:rsid w:val="00E32749"/>
    <w:rsid w:val="00E42199"/>
    <w:rsid w:val="00E63D9E"/>
    <w:rsid w:val="00EC3A13"/>
    <w:rsid w:val="00F23ABC"/>
    <w:rsid w:val="00F330E0"/>
    <w:rsid w:val="00F37375"/>
    <w:rsid w:val="00F60AA6"/>
    <w:rsid w:val="00FA3C24"/>
    <w:rsid w:val="00FC5ECE"/>
    <w:rsid w:val="00FD7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2C"/>
    <w:rPr>
      <w:rFonts w:ascii="Tahoma" w:hAnsi="Tahoma" w:cs="Tahoma"/>
      <w:sz w:val="16"/>
      <w:szCs w:val="16"/>
    </w:rPr>
  </w:style>
  <w:style w:type="paragraph" w:styleId="Header">
    <w:name w:val="header"/>
    <w:basedOn w:val="Normal"/>
    <w:link w:val="HeaderChar"/>
    <w:uiPriority w:val="99"/>
    <w:unhideWhenUsed/>
    <w:rsid w:val="00A4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12C"/>
  </w:style>
  <w:style w:type="paragraph" w:styleId="Footer">
    <w:name w:val="footer"/>
    <w:basedOn w:val="Normal"/>
    <w:link w:val="FooterChar"/>
    <w:uiPriority w:val="99"/>
    <w:semiHidden/>
    <w:unhideWhenUsed/>
    <w:rsid w:val="00A401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12C"/>
  </w:style>
  <w:style w:type="paragraph" w:styleId="ListParagraph">
    <w:name w:val="List Paragraph"/>
    <w:basedOn w:val="Normal"/>
    <w:uiPriority w:val="34"/>
    <w:qFormat/>
    <w:rsid w:val="004548C0"/>
    <w:pPr>
      <w:ind w:left="720"/>
      <w:contextualSpacing/>
    </w:pPr>
  </w:style>
  <w:style w:type="character" w:styleId="Hyperlink">
    <w:name w:val="Hyperlink"/>
    <w:basedOn w:val="DefaultParagraphFont"/>
    <w:uiPriority w:val="99"/>
    <w:unhideWhenUsed/>
    <w:rsid w:val="00C26EDF"/>
    <w:rPr>
      <w:color w:val="0000FF" w:themeColor="hyperlink"/>
      <w:u w:val="single"/>
    </w:rPr>
  </w:style>
  <w:style w:type="paragraph" w:styleId="NormalWeb">
    <w:name w:val="Normal (Web)"/>
    <w:basedOn w:val="Normal"/>
    <w:uiPriority w:val="99"/>
    <w:semiHidden/>
    <w:unhideWhenUsed/>
    <w:rsid w:val="005D78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47756">
      <w:bodyDiv w:val="1"/>
      <w:marLeft w:val="0"/>
      <w:marRight w:val="0"/>
      <w:marTop w:val="0"/>
      <w:marBottom w:val="0"/>
      <w:divBdr>
        <w:top w:val="none" w:sz="0" w:space="0" w:color="auto"/>
        <w:left w:val="none" w:sz="0" w:space="0" w:color="auto"/>
        <w:bottom w:val="none" w:sz="0" w:space="0" w:color="auto"/>
        <w:right w:val="none" w:sz="0" w:space="0" w:color="auto"/>
      </w:divBdr>
    </w:div>
    <w:div w:id="152569209">
      <w:bodyDiv w:val="1"/>
      <w:marLeft w:val="0"/>
      <w:marRight w:val="0"/>
      <w:marTop w:val="0"/>
      <w:marBottom w:val="0"/>
      <w:divBdr>
        <w:top w:val="none" w:sz="0" w:space="0" w:color="auto"/>
        <w:left w:val="none" w:sz="0" w:space="0" w:color="auto"/>
        <w:bottom w:val="none" w:sz="0" w:space="0" w:color="auto"/>
        <w:right w:val="none" w:sz="0" w:space="0" w:color="auto"/>
      </w:divBdr>
    </w:div>
    <w:div w:id="234170473">
      <w:bodyDiv w:val="1"/>
      <w:marLeft w:val="0"/>
      <w:marRight w:val="0"/>
      <w:marTop w:val="0"/>
      <w:marBottom w:val="0"/>
      <w:divBdr>
        <w:top w:val="none" w:sz="0" w:space="0" w:color="auto"/>
        <w:left w:val="none" w:sz="0" w:space="0" w:color="auto"/>
        <w:bottom w:val="none" w:sz="0" w:space="0" w:color="auto"/>
        <w:right w:val="none" w:sz="0" w:space="0" w:color="auto"/>
      </w:divBdr>
    </w:div>
    <w:div w:id="488332579">
      <w:bodyDiv w:val="1"/>
      <w:marLeft w:val="0"/>
      <w:marRight w:val="0"/>
      <w:marTop w:val="0"/>
      <w:marBottom w:val="0"/>
      <w:divBdr>
        <w:top w:val="none" w:sz="0" w:space="0" w:color="auto"/>
        <w:left w:val="none" w:sz="0" w:space="0" w:color="auto"/>
        <w:bottom w:val="none" w:sz="0" w:space="0" w:color="auto"/>
        <w:right w:val="none" w:sz="0" w:space="0" w:color="auto"/>
      </w:divBdr>
    </w:div>
    <w:div w:id="849492216">
      <w:bodyDiv w:val="1"/>
      <w:marLeft w:val="0"/>
      <w:marRight w:val="0"/>
      <w:marTop w:val="0"/>
      <w:marBottom w:val="0"/>
      <w:divBdr>
        <w:top w:val="none" w:sz="0" w:space="0" w:color="auto"/>
        <w:left w:val="none" w:sz="0" w:space="0" w:color="auto"/>
        <w:bottom w:val="none" w:sz="0" w:space="0" w:color="auto"/>
        <w:right w:val="none" w:sz="0" w:space="0" w:color="auto"/>
      </w:divBdr>
    </w:div>
    <w:div w:id="1365667055">
      <w:bodyDiv w:val="1"/>
      <w:marLeft w:val="0"/>
      <w:marRight w:val="0"/>
      <w:marTop w:val="0"/>
      <w:marBottom w:val="0"/>
      <w:divBdr>
        <w:top w:val="none" w:sz="0" w:space="0" w:color="auto"/>
        <w:left w:val="none" w:sz="0" w:space="0" w:color="auto"/>
        <w:bottom w:val="none" w:sz="0" w:space="0" w:color="auto"/>
        <w:right w:val="none" w:sz="0" w:space="0" w:color="auto"/>
      </w:divBdr>
    </w:div>
    <w:div w:id="1399278884">
      <w:bodyDiv w:val="1"/>
      <w:marLeft w:val="0"/>
      <w:marRight w:val="0"/>
      <w:marTop w:val="0"/>
      <w:marBottom w:val="0"/>
      <w:divBdr>
        <w:top w:val="none" w:sz="0" w:space="0" w:color="auto"/>
        <w:left w:val="none" w:sz="0" w:space="0" w:color="auto"/>
        <w:bottom w:val="none" w:sz="0" w:space="0" w:color="auto"/>
        <w:right w:val="none" w:sz="0" w:space="0" w:color="auto"/>
      </w:divBdr>
    </w:div>
    <w:div w:id="18679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leyhydraul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EE21-BFFD-45C4-B0F8-A1811573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DAG0117</dc:creator>
  <cp:lastModifiedBy>apl0102</cp:lastModifiedBy>
  <cp:revision>2</cp:revision>
  <cp:lastPrinted>2013-11-06T18:44:00Z</cp:lastPrinted>
  <dcterms:created xsi:type="dcterms:W3CDTF">2014-04-21T20:16:00Z</dcterms:created>
  <dcterms:modified xsi:type="dcterms:W3CDTF">2014-04-21T20:16:00Z</dcterms:modified>
</cp:coreProperties>
</file>